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17" w:rsidRPr="00F32085" w:rsidRDefault="009B4161" w:rsidP="009B4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F32085">
        <w:rPr>
          <w:rFonts w:asciiTheme="minorHAnsi" w:hAnsiTheme="minorHAnsi" w:cstheme="minorHAnsi"/>
          <w:b/>
        </w:rPr>
        <w:t xml:space="preserve">Policy: </w:t>
      </w:r>
      <w:r w:rsidR="00272966" w:rsidRPr="00F32085">
        <w:rPr>
          <w:rFonts w:asciiTheme="minorHAnsi" w:hAnsiTheme="minorHAnsi" w:cstheme="minorHAnsi"/>
          <w:b/>
        </w:rPr>
        <w:t xml:space="preserve"> </w:t>
      </w:r>
      <w:r w:rsidR="008B469D">
        <w:rPr>
          <w:rFonts w:asciiTheme="minorHAnsi" w:hAnsiTheme="minorHAnsi" w:cstheme="minorHAnsi"/>
          <w:b/>
        </w:rPr>
        <w:t>Holidays – Administrative and Supervisory Staff</w:t>
      </w:r>
      <w:r w:rsidR="00DF3692">
        <w:rPr>
          <w:rFonts w:asciiTheme="minorHAnsi" w:hAnsiTheme="minorHAnsi" w:cstheme="minorHAnsi"/>
          <w:b/>
        </w:rPr>
        <w:t xml:space="preserve"> Policy</w:t>
      </w:r>
    </w:p>
    <w:p w:rsidR="009B4161" w:rsidRPr="00F32085" w:rsidRDefault="009B4161" w:rsidP="009B4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F32085">
        <w:rPr>
          <w:rFonts w:asciiTheme="minorHAnsi" w:eastAsia="Times New Roman" w:hAnsiTheme="minorHAnsi" w:cstheme="minorHAnsi"/>
          <w:b/>
          <w:bCs/>
          <w:color w:val="000099"/>
        </w:rPr>
        <w:t xml:space="preserve">Date: </w:t>
      </w:r>
      <w:r w:rsidR="00FC75EE">
        <w:rPr>
          <w:rFonts w:asciiTheme="minorHAnsi" w:eastAsia="Times New Roman" w:hAnsiTheme="minorHAnsi" w:cstheme="minorHAnsi"/>
          <w:bCs/>
        </w:rPr>
        <w:t xml:space="preserve">October </w:t>
      </w:r>
      <w:r w:rsidR="00ED134C">
        <w:rPr>
          <w:rFonts w:asciiTheme="minorHAnsi" w:eastAsia="Times New Roman" w:hAnsiTheme="minorHAnsi" w:cstheme="minorHAnsi"/>
          <w:bCs/>
        </w:rPr>
        <w:t xml:space="preserve">19, 2018       </w:t>
      </w:r>
      <w:r w:rsidRPr="00F32085">
        <w:rPr>
          <w:rFonts w:asciiTheme="minorHAnsi" w:eastAsia="Times New Roman" w:hAnsiTheme="minorHAnsi" w:cstheme="minorHAnsi"/>
          <w:b/>
          <w:bCs/>
          <w:color w:val="000099"/>
        </w:rPr>
        <w:t>Status</w:t>
      </w:r>
      <w:r w:rsidRPr="00F32085">
        <w:rPr>
          <w:rFonts w:asciiTheme="minorHAnsi" w:hAnsiTheme="minorHAnsi" w:cstheme="minorHAnsi"/>
          <w:color w:val="0000FF"/>
        </w:rPr>
        <w:t>:</w:t>
      </w:r>
      <w:r w:rsidRPr="00F32085">
        <w:rPr>
          <w:rFonts w:asciiTheme="minorHAnsi" w:hAnsiTheme="minorHAnsi" w:cstheme="minorHAnsi"/>
        </w:rPr>
        <w:t xml:space="preserve"> </w:t>
      </w:r>
      <w:r w:rsidR="003D26AE">
        <w:rPr>
          <w:rFonts w:asciiTheme="minorHAnsi" w:hAnsiTheme="minorHAnsi" w:cstheme="minorHAnsi"/>
        </w:rPr>
        <w:t>Approved</w:t>
      </w:r>
    </w:p>
    <w:p w:rsidR="009B4161" w:rsidRPr="00F32085" w:rsidRDefault="009B4161" w:rsidP="009B4161">
      <w:pPr>
        <w:rPr>
          <w:rFonts w:asciiTheme="minorHAnsi" w:hAnsiTheme="minorHAnsi" w:cstheme="minorHAnsi"/>
          <w:color w:val="0000FF"/>
        </w:rPr>
        <w:sectPr w:rsidR="009B4161" w:rsidRPr="00F32085" w:rsidSect="00445C40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686"/>
        <w:gridCol w:w="6972"/>
      </w:tblGrid>
      <w:tr w:rsidR="009B4161" w:rsidRPr="00CE5594" w:rsidTr="000A06CB">
        <w:trPr>
          <w:trHeight w:val="702"/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</w:p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Policy Type: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University</w:t>
            </w: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Contact Office: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hideMark/>
          </w:tcPr>
          <w:p w:rsidR="009B4161" w:rsidRPr="00CE5594" w:rsidRDefault="009B4161" w:rsidP="00DF3692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 xml:space="preserve">Human Resources </w:t>
            </w: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Oversight Executive: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 xml:space="preserve">Executive Director of Human Resources  </w:t>
            </w: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Applies To: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hideMark/>
          </w:tcPr>
          <w:p w:rsidR="009B4161" w:rsidRPr="00CE5594" w:rsidRDefault="00865015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Exempt and non-exempt</w:t>
            </w:r>
            <w:r w:rsidR="00F16332" w:rsidRPr="00CE5594">
              <w:rPr>
                <w:rFonts w:asciiTheme="minorHAnsi" w:eastAsia="Times New Roman" w:hAnsiTheme="minorHAnsi" w:cstheme="minorHAnsi"/>
              </w:rPr>
              <w:t xml:space="preserve"> </w:t>
            </w:r>
            <w:r w:rsidR="00C776F9" w:rsidRPr="00CE5594">
              <w:rPr>
                <w:rFonts w:asciiTheme="minorHAnsi" w:eastAsia="Times New Roman" w:hAnsiTheme="minorHAnsi" w:cstheme="minorHAnsi"/>
              </w:rPr>
              <w:t>employees</w:t>
            </w: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Table of Contents:</w:t>
            </w:r>
          </w:p>
          <w:p w:rsidR="009B4161" w:rsidRPr="00CE5594" w:rsidRDefault="009B4161" w:rsidP="009B4161">
            <w:pPr>
              <w:rPr>
                <w:rFonts w:asciiTheme="minorHAnsi" w:eastAsia="Times New Roman" w:hAnsiTheme="minorHAnsi" w:cstheme="minorHAnsi"/>
              </w:rPr>
            </w:pPr>
          </w:p>
          <w:p w:rsidR="009B4161" w:rsidRPr="00CE5594" w:rsidRDefault="009B4161" w:rsidP="009B4161">
            <w:pPr>
              <w:rPr>
                <w:rFonts w:asciiTheme="minorHAnsi" w:eastAsia="Times New Roman" w:hAnsiTheme="minorHAnsi" w:cstheme="minorHAnsi"/>
              </w:rPr>
            </w:pPr>
          </w:p>
          <w:p w:rsidR="009B4161" w:rsidRPr="00CE5594" w:rsidRDefault="009B4161" w:rsidP="009B416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hideMark/>
          </w:tcPr>
          <w:p w:rsidR="009B4161" w:rsidRPr="00CE5594" w:rsidRDefault="009B4161" w:rsidP="008914C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bookmarkStart w:id="0" w:name="Top"/>
            <w:bookmarkEnd w:id="0"/>
            <w:r w:rsidRPr="00CE5594">
              <w:rPr>
                <w:rFonts w:asciiTheme="minorHAnsi" w:eastAsia="Times New Roman" w:hAnsiTheme="minorHAnsi" w:cstheme="minorHAnsi"/>
                <w:color w:val="000000" w:themeColor="text1"/>
              </w:rPr>
              <w:t>Policy Statement</w:t>
            </w:r>
          </w:p>
          <w:p w:rsidR="009B4161" w:rsidRPr="00CE5594" w:rsidRDefault="009B4161" w:rsidP="008914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  <w:r w:rsidRPr="00CE5594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Purpose</w:t>
            </w:r>
          </w:p>
          <w:p w:rsidR="009B4161" w:rsidRPr="00CE5594" w:rsidRDefault="009B4161" w:rsidP="008914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E5594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Summary</w:t>
            </w:r>
            <w:r w:rsidRPr="00CE559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</w:p>
          <w:p w:rsidR="009B4161" w:rsidRPr="00CE5594" w:rsidRDefault="009B4161" w:rsidP="008914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E5594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Definitions</w:t>
            </w:r>
          </w:p>
          <w:p w:rsidR="009B4161" w:rsidRPr="00CE5594" w:rsidRDefault="009B4161" w:rsidP="008914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  <w:u w:val="single"/>
              </w:rPr>
              <w:t>Procedur</w:t>
            </w:r>
            <w:r w:rsidR="00C73B9E" w:rsidRPr="00CE5594">
              <w:rPr>
                <w:rFonts w:asciiTheme="minorHAnsi" w:eastAsia="Times New Roman" w:hAnsiTheme="minorHAnsi" w:cstheme="minorHAnsi"/>
                <w:u w:val="single"/>
              </w:rPr>
              <w:t>e</w:t>
            </w: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Policy</w:t>
            </w:r>
            <w:r w:rsidR="0033746E"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 xml:space="preserve"> Purpose</w:t>
            </w: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hideMark/>
          </w:tcPr>
          <w:p w:rsidR="0014013F" w:rsidRPr="00CE5594" w:rsidRDefault="008B469D" w:rsidP="008B469D">
            <w:pPr>
              <w:pStyle w:val="NoSpacing"/>
            </w:pPr>
            <w:r>
              <w:t>The University designates certain days during the year as paid holidays for its employees. This policy establishes procedures for administering paid holidays.</w:t>
            </w:r>
          </w:p>
          <w:p w:rsidR="009B4161" w:rsidRPr="00CE5594" w:rsidRDefault="0014013F" w:rsidP="008B469D">
            <w:pPr>
              <w:widowControl w:val="0"/>
              <w:spacing w:after="0" w:line="286" w:lineRule="auto"/>
              <w:ind w:left="360" w:right="732"/>
              <w:rPr>
                <w:rFonts w:asciiTheme="minorHAnsi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Policy Summary: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hideMark/>
          </w:tcPr>
          <w:p w:rsidR="009B4161" w:rsidRPr="00CE5594" w:rsidRDefault="00FF1FCC" w:rsidP="00DF3692">
            <w:pPr>
              <w:widowControl w:val="0"/>
              <w:spacing w:after="0" w:line="286" w:lineRule="auto"/>
              <w:ind w:right="8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Policy applies to all University dep</w:t>
            </w:r>
            <w:r w:rsidR="0056212F">
              <w:rPr>
                <w:rFonts w:asciiTheme="minorHAnsi" w:hAnsiTheme="minorHAnsi" w:cstheme="minorHAnsi"/>
              </w:rPr>
              <w:t xml:space="preserve">artments, Institutes, Centers and </w:t>
            </w:r>
            <w:r>
              <w:rPr>
                <w:rFonts w:asciiTheme="minorHAnsi" w:hAnsiTheme="minorHAnsi" w:cstheme="minorHAnsi"/>
              </w:rPr>
              <w:t xml:space="preserve">Schools. </w:t>
            </w: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hideMark/>
          </w:tcPr>
          <w:p w:rsidR="009B4161" w:rsidRPr="00143FFB" w:rsidRDefault="00693891" w:rsidP="007F4E76">
            <w:pPr>
              <w:pStyle w:val="Subtitle"/>
              <w:rPr>
                <w:rFonts w:eastAsia="Times New Roman" w:cstheme="minorHAnsi"/>
                <w:b/>
                <w:color w:val="3116D4"/>
              </w:rPr>
            </w:pPr>
            <w:r>
              <w:rPr>
                <w:rFonts w:eastAsia="Times New Roman" w:cstheme="minorHAnsi"/>
                <w:b/>
                <w:color w:val="210F8F"/>
              </w:rPr>
              <w:t>Definition of Terms in</w:t>
            </w:r>
            <w:r w:rsidR="009B4161" w:rsidRPr="00143FFB">
              <w:rPr>
                <w:rFonts w:eastAsia="Times New Roman" w:cstheme="minorHAnsi"/>
                <w:b/>
                <w:color w:val="210F8F"/>
              </w:rPr>
              <w:t>:</w:t>
            </w:r>
            <w:r w:rsidR="00CE5594" w:rsidRPr="00143FFB">
              <w:rPr>
                <w:rFonts w:eastAsia="Times New Roman" w:cstheme="minorHAnsi"/>
                <w:b/>
                <w:color w:val="210F8F"/>
              </w:rPr>
              <w:t xml:space="preserve"> </w:t>
            </w:r>
          </w:p>
        </w:tc>
        <w:tc>
          <w:tcPr>
            <w:tcW w:w="656" w:type="dxa"/>
            <w:hideMark/>
          </w:tcPr>
          <w:p w:rsidR="009B4161" w:rsidRPr="00CE5594" w:rsidRDefault="009B4161" w:rsidP="00001255">
            <w:pPr>
              <w:spacing w:after="0" w:line="240" w:lineRule="auto"/>
              <w:ind w:right="576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</w:tcPr>
          <w:p w:rsidR="00143FFB" w:rsidRDefault="0056212F" w:rsidP="00693891">
            <w:pPr>
              <w:pStyle w:val="NoSpacing"/>
              <w:rPr>
                <w:b/>
              </w:rPr>
            </w:pPr>
            <w:r>
              <w:rPr>
                <w:b/>
              </w:rPr>
              <w:t>Special Holiday/</w:t>
            </w:r>
            <w:r w:rsidR="00693891">
              <w:rPr>
                <w:b/>
              </w:rPr>
              <w:t>Early release:</w:t>
            </w:r>
          </w:p>
          <w:p w:rsidR="00693891" w:rsidRPr="00693891" w:rsidRDefault="00693891" w:rsidP="00693891">
            <w:pPr>
              <w:pStyle w:val="NoSpacing"/>
            </w:pPr>
            <w:r w:rsidRPr="00693891">
              <w:t xml:space="preserve">A special holiday/early release is one that is not part of the normal Clarkson University holiday schedule and </w:t>
            </w:r>
            <w:proofErr w:type="gramStart"/>
            <w:r w:rsidRPr="00693891">
              <w:t>may ONLY be declared</w:t>
            </w:r>
            <w:proofErr w:type="gramEnd"/>
            <w:r w:rsidRPr="00693891">
              <w:t xml:space="preserve"> by </w:t>
            </w:r>
            <w:r w:rsidR="000975CD">
              <w:t>the President of the University, or the President’s designee.</w:t>
            </w:r>
          </w:p>
        </w:tc>
      </w:tr>
      <w:tr w:rsidR="00272966" w:rsidRPr="00CE5594" w:rsidTr="000A06CB">
        <w:trPr>
          <w:tblCellSpacing w:w="15" w:type="dxa"/>
        </w:trPr>
        <w:tc>
          <w:tcPr>
            <w:tcW w:w="1732" w:type="dxa"/>
          </w:tcPr>
          <w:p w:rsidR="00272966" w:rsidRPr="00CE5594" w:rsidRDefault="00272966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</w:p>
        </w:tc>
        <w:tc>
          <w:tcPr>
            <w:tcW w:w="656" w:type="dxa"/>
          </w:tcPr>
          <w:p w:rsidR="00272966" w:rsidRPr="00CE5594" w:rsidRDefault="00272966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7" w:type="dxa"/>
          </w:tcPr>
          <w:p w:rsidR="00272966" w:rsidRPr="00CE5594" w:rsidRDefault="00272966" w:rsidP="007665D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272966" w:rsidRPr="00CE5594" w:rsidTr="000A06CB">
        <w:trPr>
          <w:trHeight w:val="195"/>
          <w:tblCellSpacing w:w="15" w:type="dxa"/>
        </w:trPr>
        <w:tc>
          <w:tcPr>
            <w:tcW w:w="1732" w:type="dxa"/>
          </w:tcPr>
          <w:p w:rsidR="00272966" w:rsidRPr="00CE5594" w:rsidRDefault="00272966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</w:p>
        </w:tc>
        <w:tc>
          <w:tcPr>
            <w:tcW w:w="656" w:type="dxa"/>
          </w:tcPr>
          <w:p w:rsidR="00272966" w:rsidRPr="00CE5594" w:rsidRDefault="00272966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7" w:type="dxa"/>
          </w:tcPr>
          <w:p w:rsidR="00272966" w:rsidRPr="00CE5594" w:rsidRDefault="00272966" w:rsidP="008914C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9B4161" w:rsidRPr="00CE5594" w:rsidTr="008B469D">
        <w:trPr>
          <w:trHeight w:val="780"/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7665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Policy Statement</w:t>
            </w:r>
            <w:r w:rsidR="00B947B5"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:</w:t>
            </w:r>
          </w:p>
        </w:tc>
        <w:tc>
          <w:tcPr>
            <w:tcW w:w="656" w:type="dxa"/>
            <w:hideMark/>
          </w:tcPr>
          <w:p w:rsidR="009B4161" w:rsidRPr="00CE5594" w:rsidRDefault="009B4161" w:rsidP="00A73F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7" w:type="dxa"/>
          </w:tcPr>
          <w:p w:rsidR="00F1343E" w:rsidRDefault="008B469D" w:rsidP="00F1343E">
            <w:pPr>
              <w:pStyle w:val="NoSpacing"/>
            </w:pPr>
            <w:bookmarkStart w:id="1" w:name="Statement"/>
            <w:bookmarkEnd w:id="1"/>
            <w:r>
              <w:rPr>
                <w:rFonts w:asciiTheme="minorHAnsi" w:hAnsiTheme="minorHAnsi" w:cstheme="minorHAnsi"/>
              </w:rPr>
              <w:t>Clarkson University schedules operations to allow faculty and staff to celebrate important national holidays.</w:t>
            </w:r>
            <w:r w:rsidR="00F1343E">
              <w:rPr>
                <w:rFonts w:asciiTheme="minorHAnsi" w:hAnsiTheme="minorHAnsi" w:cstheme="minorHAnsi"/>
              </w:rPr>
              <w:t xml:space="preserve"> </w:t>
            </w:r>
            <w:r w:rsidR="00F1343E" w:rsidRPr="00CE5594">
              <w:t>T</w:t>
            </w:r>
            <w:r w:rsidR="00F1343E">
              <w:t xml:space="preserve">he observance of paid holidays provides additional opportunities </w:t>
            </w:r>
            <w:proofErr w:type="gramStart"/>
            <w:r w:rsidR="00F1343E">
              <w:t>for rest, and to enhance the total compensation provided to employees</w:t>
            </w:r>
            <w:proofErr w:type="gramEnd"/>
            <w:r w:rsidR="00F1343E">
              <w:t xml:space="preserve">. </w:t>
            </w:r>
          </w:p>
          <w:p w:rsidR="000C59B1" w:rsidRPr="00CE5594" w:rsidRDefault="000C59B1" w:rsidP="000C59B1">
            <w:pPr>
              <w:widowControl w:val="0"/>
              <w:spacing w:after="0" w:line="240" w:lineRule="auto"/>
              <w:ind w:right="662"/>
              <w:rPr>
                <w:rFonts w:asciiTheme="minorHAnsi" w:hAnsiTheme="minorHAnsi" w:cstheme="minorHAnsi"/>
              </w:rPr>
            </w:pPr>
          </w:p>
        </w:tc>
      </w:tr>
      <w:tr w:rsidR="009B4161" w:rsidRPr="00CE5594" w:rsidTr="001B697C">
        <w:trPr>
          <w:trHeight w:val="9060"/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lastRenderedPageBreak/>
              <w:t>Procedures:</w:t>
            </w:r>
          </w:p>
          <w:p w:rsidR="00B947B5" w:rsidRPr="00CE5594" w:rsidRDefault="00FF1FCC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 xml:space="preserve"> </w:t>
            </w:r>
          </w:p>
        </w:tc>
        <w:tc>
          <w:tcPr>
            <w:tcW w:w="656" w:type="dxa"/>
            <w:hideMark/>
          </w:tcPr>
          <w:p w:rsidR="009B4161" w:rsidRPr="00CE5594" w:rsidRDefault="009B4161" w:rsidP="004E19A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927" w:type="dxa"/>
          </w:tcPr>
          <w:p w:rsidR="00B947B5" w:rsidRDefault="00F1343E" w:rsidP="00992FFC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bookmarkStart w:id="2" w:name="Procedures"/>
            <w:bookmarkEnd w:id="2"/>
            <w:r>
              <w:rPr>
                <w:rFonts w:asciiTheme="minorHAnsi" w:eastAsia="Times New Roman" w:hAnsiTheme="minorHAnsi" w:cstheme="minorHAnsi"/>
              </w:rPr>
              <w:t xml:space="preserve">The </w:t>
            </w:r>
            <w:r w:rsidR="009D4361">
              <w:rPr>
                <w:rFonts w:asciiTheme="minorHAnsi" w:eastAsia="Times New Roman" w:hAnsiTheme="minorHAnsi" w:cstheme="minorHAnsi"/>
              </w:rPr>
              <w:t>University administrative and supervisory staff observe the following holiday schedules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  <w:p w:rsidR="00693891" w:rsidRDefault="00693891" w:rsidP="00992FFC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</w:p>
          <w:p w:rsidR="00F1343E" w:rsidRDefault="00F1343E" w:rsidP="00A1088D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 w:rsidRPr="00F1343E">
              <w:rPr>
                <w:rFonts w:asciiTheme="minorHAnsi" w:eastAsia="Times New Roman" w:hAnsiTheme="minorHAnsi" w:cstheme="minorHAnsi"/>
                <w:b/>
              </w:rPr>
              <w:t>New Year’s Day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        1 January</w:t>
            </w:r>
          </w:p>
          <w:p w:rsidR="00F1343E" w:rsidRPr="00F1343E" w:rsidRDefault="00F1343E" w:rsidP="00A1088D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  <w:b/>
              </w:rPr>
            </w:pPr>
            <w:r w:rsidRPr="00F1343E">
              <w:rPr>
                <w:rFonts w:asciiTheme="minorHAnsi" w:eastAsia="Times New Roman" w:hAnsiTheme="minorHAnsi" w:cstheme="minorHAnsi"/>
                <w:b/>
              </w:rPr>
              <w:t>Memorial Day</w:t>
            </w:r>
          </w:p>
          <w:p w:rsidR="00F1343E" w:rsidRDefault="00F1343E" w:rsidP="00A1088D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 w:rsidRPr="00F1343E">
              <w:rPr>
                <w:rFonts w:asciiTheme="minorHAnsi" w:eastAsia="Times New Roman" w:hAnsiTheme="minorHAnsi" w:cstheme="minorHAnsi"/>
                <w:b/>
              </w:rPr>
              <w:t>Independence Day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   4 July</w:t>
            </w:r>
          </w:p>
          <w:p w:rsidR="00F1343E" w:rsidRDefault="00F1343E" w:rsidP="00A1088D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 w:rsidRPr="00F1343E">
              <w:rPr>
                <w:rFonts w:asciiTheme="minorHAnsi" w:eastAsia="Times New Roman" w:hAnsiTheme="minorHAnsi" w:cstheme="minorHAnsi"/>
                <w:b/>
              </w:rPr>
              <w:t>Thanksgiving Weekend</w:t>
            </w:r>
            <w:r>
              <w:rPr>
                <w:rFonts w:asciiTheme="minorHAnsi" w:eastAsia="Times New Roman" w:hAnsiTheme="minorHAnsi" w:cstheme="minorHAnsi"/>
              </w:rPr>
              <w:t xml:space="preserve">             Thursday and Friday</w:t>
            </w:r>
          </w:p>
          <w:p w:rsidR="00F1343E" w:rsidRDefault="00F1343E" w:rsidP="00A1088D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 w:rsidRPr="00F1343E">
              <w:rPr>
                <w:rFonts w:asciiTheme="minorHAnsi" w:eastAsia="Times New Roman" w:hAnsiTheme="minorHAnsi" w:cstheme="minorHAnsi"/>
                <w:b/>
              </w:rPr>
              <w:t>Christmas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                  Three day break</w:t>
            </w:r>
          </w:p>
          <w:p w:rsidR="00F1343E" w:rsidRDefault="00F1343E" w:rsidP="00F1343E">
            <w:pPr>
              <w:pStyle w:val="ListParagraph"/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  <w:b/>
              </w:rPr>
            </w:pPr>
          </w:p>
          <w:p w:rsidR="00F1343E" w:rsidRDefault="00F1343E" w:rsidP="00F1343E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  <w:b/>
              </w:rPr>
            </w:pPr>
            <w:r w:rsidRPr="00F1343E">
              <w:rPr>
                <w:rFonts w:asciiTheme="minorHAnsi" w:eastAsia="Times New Roman" w:hAnsiTheme="minorHAnsi" w:cstheme="minorHAnsi"/>
                <w:b/>
              </w:rPr>
              <w:t>Observance:</w:t>
            </w:r>
          </w:p>
          <w:p w:rsidR="00693891" w:rsidRPr="00F1343E" w:rsidRDefault="00693891" w:rsidP="00F1343E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  <w:b/>
              </w:rPr>
            </w:pPr>
          </w:p>
          <w:p w:rsidR="00F1343E" w:rsidRPr="00F1343E" w:rsidRDefault="00F1343E" w:rsidP="00A1088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 w:rsidRPr="00F1343E">
              <w:rPr>
                <w:rFonts w:asciiTheme="minorHAnsi" w:eastAsia="Times New Roman" w:hAnsiTheme="minorHAnsi" w:cstheme="minorHAnsi"/>
              </w:rPr>
              <w:t>Whenever a holiday falls on a Sunday, the following Monday is observed as the holiday; whenever a holiday falls on a Saturday, the preceding Friday is observed as the holiday.</w:t>
            </w:r>
          </w:p>
          <w:p w:rsidR="00F1343E" w:rsidRDefault="00F1343E" w:rsidP="00F1343E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</w:p>
          <w:p w:rsidR="00F1343E" w:rsidRPr="00F1343E" w:rsidRDefault="00F1343E" w:rsidP="00A1088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 w:rsidRPr="00F1343E">
              <w:rPr>
                <w:rFonts w:asciiTheme="minorHAnsi" w:eastAsia="Times New Roman" w:hAnsiTheme="minorHAnsi" w:cstheme="minorHAnsi"/>
              </w:rPr>
              <w:t>If a University holiday falls during an employee’s authorized vacation period, the holiday will not be changed as a day of vacation time</w:t>
            </w:r>
          </w:p>
          <w:p w:rsidR="00F1343E" w:rsidRDefault="00F1343E" w:rsidP="00F1343E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</w:p>
          <w:p w:rsidR="00F1343E" w:rsidRDefault="00F1343E" w:rsidP="00F1343E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  <w:b/>
              </w:rPr>
            </w:pPr>
            <w:r w:rsidRPr="00F1343E">
              <w:rPr>
                <w:rFonts w:asciiTheme="minorHAnsi" w:eastAsia="Times New Roman" w:hAnsiTheme="minorHAnsi" w:cstheme="minorHAnsi"/>
                <w:b/>
              </w:rPr>
              <w:t>Pay:</w:t>
            </w:r>
          </w:p>
          <w:p w:rsidR="00693891" w:rsidRPr="00F1343E" w:rsidRDefault="00693891" w:rsidP="00F1343E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  <w:b/>
              </w:rPr>
            </w:pPr>
          </w:p>
          <w:p w:rsidR="00F1343E" w:rsidRPr="00F1343E" w:rsidRDefault="00F1343E" w:rsidP="00A1088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 w:rsidRPr="00F1343E">
              <w:rPr>
                <w:rFonts w:asciiTheme="minorHAnsi" w:eastAsia="Times New Roman" w:hAnsiTheme="minorHAnsi" w:cstheme="minorHAnsi"/>
              </w:rPr>
              <w:t>To receive pay for a holiday, the e</w:t>
            </w:r>
            <w:r w:rsidR="0079450C">
              <w:rPr>
                <w:rFonts w:asciiTheme="minorHAnsi" w:eastAsia="Times New Roman" w:hAnsiTheme="minorHAnsi" w:cstheme="minorHAnsi"/>
              </w:rPr>
              <w:t>mployee must be in a</w:t>
            </w:r>
            <w:r w:rsidR="0056212F">
              <w:rPr>
                <w:rFonts w:asciiTheme="minorHAnsi" w:eastAsia="Times New Roman" w:hAnsiTheme="minorHAnsi" w:cstheme="minorHAnsi"/>
              </w:rPr>
              <w:t xml:space="preserve">n </w:t>
            </w:r>
            <w:proofErr w:type="gramStart"/>
            <w:r w:rsidR="0056212F">
              <w:rPr>
                <w:rFonts w:asciiTheme="minorHAnsi" w:eastAsia="Times New Roman" w:hAnsiTheme="minorHAnsi" w:cstheme="minorHAnsi"/>
              </w:rPr>
              <w:t xml:space="preserve">active </w:t>
            </w:r>
            <w:r w:rsidR="0079450C">
              <w:rPr>
                <w:rFonts w:asciiTheme="minorHAnsi" w:eastAsia="Times New Roman" w:hAnsiTheme="minorHAnsi" w:cstheme="minorHAnsi"/>
              </w:rPr>
              <w:t xml:space="preserve"> pay</w:t>
            </w:r>
            <w:proofErr w:type="gramEnd"/>
            <w:r w:rsidR="0079450C">
              <w:rPr>
                <w:rFonts w:asciiTheme="minorHAnsi" w:eastAsia="Times New Roman" w:hAnsiTheme="minorHAnsi" w:cstheme="minorHAnsi"/>
              </w:rPr>
              <w:t xml:space="preserve"> status,</w:t>
            </w:r>
            <w:r w:rsidRPr="00F1343E">
              <w:rPr>
                <w:rFonts w:asciiTheme="minorHAnsi" w:eastAsia="Times New Roman" w:hAnsiTheme="minorHAnsi" w:cstheme="minorHAnsi"/>
              </w:rPr>
              <w:t xml:space="preserve"> the workday preceding and the workday following the holiday.</w:t>
            </w:r>
          </w:p>
          <w:p w:rsidR="00F1343E" w:rsidRDefault="00F1343E" w:rsidP="00F1343E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</w:p>
          <w:p w:rsidR="00F1343E" w:rsidRDefault="00F1343E" w:rsidP="00A1088D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 w:rsidRPr="00F1343E">
              <w:rPr>
                <w:rFonts w:asciiTheme="minorHAnsi" w:eastAsia="Times New Roman" w:hAnsiTheme="minorHAnsi" w:cstheme="minorHAnsi"/>
              </w:rPr>
              <w:t xml:space="preserve">Holiday time </w:t>
            </w:r>
            <w:proofErr w:type="gramStart"/>
            <w:r w:rsidRPr="00F1343E">
              <w:rPr>
                <w:rFonts w:asciiTheme="minorHAnsi" w:eastAsia="Times New Roman" w:hAnsiTheme="minorHAnsi" w:cstheme="minorHAnsi"/>
              </w:rPr>
              <w:t>will not be paid</w:t>
            </w:r>
            <w:proofErr w:type="gramEnd"/>
            <w:r w:rsidRPr="00F1343E">
              <w:rPr>
                <w:rFonts w:asciiTheme="minorHAnsi" w:eastAsia="Times New Roman" w:hAnsiTheme="minorHAnsi" w:cstheme="minorHAnsi"/>
              </w:rPr>
              <w:t xml:space="preserve"> upon termination or resignation.</w:t>
            </w:r>
          </w:p>
          <w:p w:rsidR="001B697C" w:rsidRPr="001B697C" w:rsidRDefault="001B697C" w:rsidP="001B697C">
            <w:pPr>
              <w:pStyle w:val="ListParagraph"/>
              <w:rPr>
                <w:rFonts w:asciiTheme="minorHAnsi" w:eastAsia="Times New Roman" w:hAnsiTheme="minorHAnsi" w:cstheme="minorHAnsi"/>
              </w:rPr>
            </w:pPr>
          </w:p>
          <w:p w:rsidR="001B697C" w:rsidRDefault="001B697C" w:rsidP="001B697C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  <w:b/>
              </w:rPr>
            </w:pPr>
            <w:r w:rsidRPr="001B697C">
              <w:rPr>
                <w:rFonts w:asciiTheme="minorHAnsi" w:eastAsia="Times New Roman" w:hAnsiTheme="minorHAnsi" w:cstheme="minorHAnsi"/>
                <w:b/>
              </w:rPr>
              <w:t>Early Release:</w:t>
            </w:r>
          </w:p>
          <w:p w:rsidR="00693891" w:rsidRDefault="00693891" w:rsidP="001B697C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  <w:b/>
              </w:rPr>
            </w:pPr>
          </w:p>
          <w:p w:rsidR="001B697C" w:rsidRDefault="00344FC4" w:rsidP="00073D0E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 w:rsidRPr="00344FC4">
              <w:rPr>
                <w:rFonts w:asciiTheme="minorHAnsi" w:eastAsia="Times New Roman" w:hAnsiTheme="minorHAnsi" w:cstheme="minorHAnsi"/>
              </w:rPr>
              <w:t>The University may authorize early release time during certain times of the year (e.g. the afternoon before the December holiday, etc.)</w:t>
            </w:r>
            <w:r w:rsidR="001B697C" w:rsidRPr="00344FC4">
              <w:rPr>
                <w:rFonts w:asciiTheme="minorHAnsi" w:eastAsia="Times New Roman" w:hAnsiTheme="minorHAnsi" w:cstheme="minorHAnsi"/>
              </w:rPr>
              <w:t xml:space="preserve"> Authorization of early release times </w:t>
            </w:r>
            <w:proofErr w:type="gramStart"/>
            <w:r w:rsidR="001B697C" w:rsidRPr="00344FC4">
              <w:rPr>
                <w:rFonts w:asciiTheme="minorHAnsi" w:eastAsia="Times New Roman" w:hAnsiTheme="minorHAnsi" w:cstheme="minorHAnsi"/>
              </w:rPr>
              <w:t>is based</w:t>
            </w:r>
            <w:proofErr w:type="gramEnd"/>
            <w:r w:rsidR="001B697C" w:rsidRPr="00344FC4">
              <w:rPr>
                <w:rFonts w:asciiTheme="minorHAnsi" w:eastAsia="Times New Roman" w:hAnsiTheme="minorHAnsi" w:cstheme="minorHAnsi"/>
              </w:rPr>
              <w:t xml:space="preserve"> on several factors</w:t>
            </w:r>
            <w:r w:rsidR="0079450C">
              <w:rPr>
                <w:rFonts w:asciiTheme="minorHAnsi" w:eastAsia="Times New Roman" w:hAnsiTheme="minorHAnsi" w:cstheme="minorHAnsi"/>
              </w:rPr>
              <w:t>,</w:t>
            </w:r>
            <w:r w:rsidR="001B697C" w:rsidRPr="00344FC4">
              <w:rPr>
                <w:rFonts w:asciiTheme="minorHAnsi" w:eastAsia="Times New Roman" w:hAnsiTheme="minorHAnsi" w:cstheme="minorHAnsi"/>
              </w:rPr>
              <w:t xml:space="preserve"> and is approved at the discretion of the President </w:t>
            </w:r>
            <w:r w:rsidR="000975CD">
              <w:rPr>
                <w:rFonts w:asciiTheme="minorHAnsi" w:eastAsia="Times New Roman" w:hAnsiTheme="minorHAnsi" w:cstheme="minorHAnsi"/>
              </w:rPr>
              <w:t>or</w:t>
            </w:r>
            <w:r w:rsidR="0079450C">
              <w:rPr>
                <w:rFonts w:asciiTheme="minorHAnsi" w:eastAsia="Times New Roman" w:hAnsiTheme="minorHAnsi" w:cstheme="minorHAnsi"/>
              </w:rPr>
              <w:t>,</w:t>
            </w:r>
            <w:r w:rsidR="000975CD">
              <w:rPr>
                <w:rFonts w:asciiTheme="minorHAnsi" w:eastAsia="Times New Roman" w:hAnsiTheme="minorHAnsi" w:cstheme="minorHAnsi"/>
              </w:rPr>
              <w:t xml:space="preserve"> the President’s designee.</w:t>
            </w:r>
            <w:r w:rsidR="001B697C" w:rsidRPr="00344FC4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344FC4" w:rsidRPr="00344FC4" w:rsidRDefault="00344FC4" w:rsidP="00344FC4">
            <w:pPr>
              <w:pStyle w:val="ListParagraph"/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</w:p>
          <w:p w:rsidR="001B697C" w:rsidRDefault="001B697C" w:rsidP="001B697C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  <w:b/>
              </w:rPr>
            </w:pPr>
            <w:r w:rsidRPr="001B697C">
              <w:rPr>
                <w:rFonts w:asciiTheme="minorHAnsi" w:eastAsia="Times New Roman" w:hAnsiTheme="minorHAnsi" w:cstheme="minorHAnsi"/>
                <w:b/>
              </w:rPr>
              <w:t>General Provisions:</w:t>
            </w:r>
          </w:p>
          <w:p w:rsidR="00487AA3" w:rsidRDefault="00487AA3" w:rsidP="001B697C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  <w:b/>
              </w:rPr>
            </w:pPr>
          </w:p>
          <w:p w:rsidR="001B697C" w:rsidRDefault="001B697C" w:rsidP="001B697C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 w:rsidRPr="001B697C">
              <w:rPr>
                <w:rFonts w:asciiTheme="minorHAnsi" w:eastAsia="Times New Roman" w:hAnsiTheme="minorHAnsi" w:cstheme="minorHAnsi"/>
              </w:rPr>
              <w:t>The following items should be noted in those instances where an early release or a special holiday has been authorized:</w:t>
            </w:r>
          </w:p>
          <w:p w:rsidR="001B697C" w:rsidRDefault="001B697C" w:rsidP="00A1088D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The President’s Office or</w:t>
            </w:r>
            <w:r w:rsidR="0079450C">
              <w:rPr>
                <w:rFonts w:asciiTheme="minorHAnsi" w:eastAsia="Times New Roman" w:hAnsiTheme="minorHAnsi" w:cstheme="minorHAnsi"/>
              </w:rPr>
              <w:t>,</w:t>
            </w:r>
            <w:r>
              <w:rPr>
                <w:rFonts w:asciiTheme="minorHAnsi" w:eastAsia="Times New Roman" w:hAnsiTheme="minorHAnsi" w:cstheme="minorHAnsi"/>
              </w:rPr>
              <w:t xml:space="preserve"> Human Resources will provide notice to the campus in the event an early release </w:t>
            </w:r>
            <w:proofErr w:type="gramStart"/>
            <w:r>
              <w:rPr>
                <w:rFonts w:asciiTheme="minorHAnsi" w:eastAsia="Times New Roman" w:hAnsiTheme="minorHAnsi" w:cstheme="minorHAnsi"/>
              </w:rPr>
              <w:t>has been authorized</w:t>
            </w:r>
            <w:proofErr w:type="gramEnd"/>
            <w:r>
              <w:rPr>
                <w:rFonts w:asciiTheme="minorHAnsi" w:eastAsia="Times New Roman" w:hAnsiTheme="minorHAnsi" w:cstheme="minorHAnsi"/>
              </w:rPr>
              <w:t xml:space="preserve"> or</w:t>
            </w:r>
            <w:r w:rsidR="0079450C">
              <w:rPr>
                <w:rFonts w:asciiTheme="minorHAnsi" w:eastAsia="Times New Roman" w:hAnsiTheme="minorHAnsi" w:cstheme="minorHAnsi"/>
              </w:rPr>
              <w:t>,</w:t>
            </w:r>
            <w:r>
              <w:rPr>
                <w:rFonts w:asciiTheme="minorHAnsi" w:eastAsia="Times New Roman" w:hAnsiTheme="minorHAnsi" w:cstheme="minorHAnsi"/>
              </w:rPr>
              <w:t xml:space="preserve"> a special holiday has been declared.</w:t>
            </w:r>
          </w:p>
          <w:p w:rsidR="00D04FB7" w:rsidRDefault="000975CD" w:rsidP="00D04FB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If the president declares,</w:t>
            </w:r>
            <w:r w:rsidR="00D04FB7" w:rsidRPr="00D04FB7">
              <w:rPr>
                <w:rFonts w:asciiTheme="minorHAnsi" w:eastAsia="Times New Roman" w:hAnsiTheme="minorHAnsi" w:cstheme="minorHAnsi"/>
              </w:rPr>
              <w:t xml:space="preserve"> early dismissal, or special h</w:t>
            </w:r>
            <w:r w:rsidR="0056212F">
              <w:rPr>
                <w:rFonts w:asciiTheme="minorHAnsi" w:eastAsia="Times New Roman" w:hAnsiTheme="minorHAnsi" w:cstheme="minorHAnsi"/>
              </w:rPr>
              <w:t xml:space="preserve">oliday, release will be campus </w:t>
            </w:r>
            <w:r w:rsidR="00D04FB7" w:rsidRPr="00D04FB7">
              <w:rPr>
                <w:rFonts w:asciiTheme="minorHAnsi" w:eastAsia="Times New Roman" w:hAnsiTheme="minorHAnsi" w:cstheme="minorHAnsi"/>
              </w:rPr>
              <w:t>wide, and not subject to individual departments. This is to ensure fair and equal treatment of all Clarkson University employees.</w:t>
            </w:r>
          </w:p>
          <w:p w:rsidR="00344FC4" w:rsidRDefault="00344FC4" w:rsidP="00344FC4">
            <w:pPr>
              <w:pStyle w:val="ListParagraph"/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</w:p>
          <w:p w:rsidR="00344FC4" w:rsidRPr="00D04FB7" w:rsidRDefault="00344FC4" w:rsidP="00344FC4">
            <w:pPr>
              <w:pStyle w:val="ListParagraph"/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</w:p>
          <w:p w:rsidR="00487AA3" w:rsidRDefault="00487AA3" w:rsidP="00487AA3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Work and Scheduling During a H</w:t>
            </w:r>
            <w:r w:rsidRPr="00487AA3">
              <w:rPr>
                <w:rFonts w:asciiTheme="minorHAnsi" w:eastAsia="Times New Roman" w:hAnsiTheme="minorHAnsi" w:cstheme="minorHAnsi"/>
                <w:b/>
              </w:rPr>
              <w:t xml:space="preserve">oliday or </w:t>
            </w:r>
            <w:r>
              <w:rPr>
                <w:rFonts w:asciiTheme="minorHAnsi" w:eastAsia="Times New Roman" w:hAnsiTheme="minorHAnsi" w:cstheme="minorHAnsi"/>
                <w:b/>
              </w:rPr>
              <w:t>Release T</w:t>
            </w:r>
            <w:r w:rsidRPr="00487AA3">
              <w:rPr>
                <w:rFonts w:asciiTheme="minorHAnsi" w:eastAsia="Times New Roman" w:hAnsiTheme="minorHAnsi" w:cstheme="minorHAnsi"/>
                <w:b/>
              </w:rPr>
              <w:t>ime:</w:t>
            </w:r>
          </w:p>
          <w:p w:rsidR="00487AA3" w:rsidRDefault="00487AA3" w:rsidP="00487AA3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  <w:b/>
              </w:rPr>
            </w:pPr>
          </w:p>
          <w:p w:rsidR="00487AA3" w:rsidRDefault="00487AA3" w:rsidP="00487AA3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Essential personnel may be required to work during an early release or special holiday; employees should consult with their supervisor to determine </w:t>
            </w:r>
            <w:r w:rsidR="00D04FB7">
              <w:rPr>
                <w:rFonts w:asciiTheme="minorHAnsi" w:eastAsia="Times New Roman" w:hAnsiTheme="minorHAnsi" w:cstheme="minorHAnsi"/>
              </w:rPr>
              <w:t>whether or</w:t>
            </w:r>
            <w:r>
              <w:rPr>
                <w:rFonts w:asciiTheme="minorHAnsi" w:eastAsia="Times New Roman" w:hAnsiTheme="minorHAnsi" w:cstheme="minorHAnsi"/>
              </w:rPr>
              <w:t xml:space="preserve"> not</w:t>
            </w:r>
            <w:r w:rsidR="00D04FB7">
              <w:rPr>
                <w:rFonts w:asciiTheme="minorHAnsi" w:eastAsia="Times New Roman" w:hAnsiTheme="minorHAnsi" w:cstheme="minorHAnsi"/>
              </w:rPr>
              <w:t>,</w:t>
            </w:r>
            <w:r>
              <w:rPr>
                <w:rFonts w:asciiTheme="minorHAnsi" w:eastAsia="Times New Roman" w:hAnsiTheme="minorHAnsi" w:cstheme="minorHAnsi"/>
              </w:rPr>
              <w:t xml:space="preserve"> their position is </w:t>
            </w:r>
            <w:proofErr w:type="gramStart"/>
            <w:r>
              <w:rPr>
                <w:rFonts w:asciiTheme="minorHAnsi" w:eastAsia="Times New Roman" w:hAnsiTheme="minorHAnsi" w:cstheme="minorHAnsi"/>
              </w:rPr>
              <w:t>considered to be “</w:t>
            </w:r>
            <w:proofErr w:type="gramEnd"/>
            <w:r>
              <w:rPr>
                <w:rFonts w:asciiTheme="minorHAnsi" w:eastAsia="Times New Roman" w:hAnsiTheme="minorHAnsi" w:cstheme="minorHAnsi"/>
              </w:rPr>
              <w:t>essential” for purposes of working during an early release or declared holiday.</w:t>
            </w:r>
          </w:p>
          <w:p w:rsidR="00487AA3" w:rsidRDefault="00487AA3" w:rsidP="00487AA3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</w:p>
          <w:p w:rsidR="00487AA3" w:rsidRDefault="00487AA3" w:rsidP="00487AA3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An employee who works during a holiday or early release time:</w:t>
            </w:r>
          </w:p>
          <w:p w:rsidR="00487AA3" w:rsidRPr="00D04FB7" w:rsidRDefault="00487AA3" w:rsidP="00A1088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 w:rsidRPr="00D04FB7">
              <w:rPr>
                <w:rFonts w:asciiTheme="minorHAnsi" w:eastAsia="Times New Roman" w:hAnsiTheme="minorHAnsi" w:cstheme="minorHAnsi"/>
              </w:rPr>
              <w:t>Will be paid for the hours they work and</w:t>
            </w:r>
            <w:r w:rsidR="00D04FB7" w:rsidRPr="00D04FB7">
              <w:rPr>
                <w:rFonts w:asciiTheme="minorHAnsi" w:eastAsia="Times New Roman" w:hAnsiTheme="minorHAnsi" w:cstheme="minorHAnsi"/>
              </w:rPr>
              <w:t xml:space="preserve"> will be given appropriate </w:t>
            </w:r>
            <w:r w:rsidRPr="00D04FB7">
              <w:rPr>
                <w:rFonts w:asciiTheme="minorHAnsi" w:eastAsia="Times New Roman" w:hAnsiTheme="minorHAnsi" w:cstheme="minorHAnsi"/>
              </w:rPr>
              <w:t xml:space="preserve"> compensatory time off on a straight time basis; or</w:t>
            </w:r>
          </w:p>
          <w:p w:rsidR="00487AA3" w:rsidRPr="00D04FB7" w:rsidRDefault="00487AA3" w:rsidP="00A1088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 w:rsidRPr="00D04FB7">
              <w:rPr>
                <w:rFonts w:asciiTheme="minorHAnsi" w:eastAsia="Times New Roman" w:hAnsiTheme="minorHAnsi" w:cstheme="minorHAnsi"/>
              </w:rPr>
              <w:t>May be paid for compensatory time on a straight time basis where department determines that allowing compensatory time off would be disruptive to critical functions (hourly employees only).</w:t>
            </w:r>
          </w:p>
          <w:p w:rsidR="00487AA3" w:rsidRDefault="00487AA3" w:rsidP="00487AA3">
            <w:pPr>
              <w:pStyle w:val="ListParagraph"/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</w:p>
          <w:p w:rsidR="00487AA3" w:rsidRDefault="00487AA3" w:rsidP="00487AA3">
            <w:pPr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An employee who does not work on or who is usually not scheduled to work during the special holiday or release time:</w:t>
            </w:r>
          </w:p>
          <w:p w:rsidR="00487AA3" w:rsidRPr="00D04FB7" w:rsidRDefault="000975CD" w:rsidP="00A1088D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Will be given </w:t>
            </w:r>
            <w:r w:rsidR="00487AA3" w:rsidRPr="00D04FB7">
              <w:rPr>
                <w:rFonts w:asciiTheme="minorHAnsi" w:eastAsia="Times New Roman" w:hAnsiTheme="minorHAnsi" w:cstheme="minorHAnsi"/>
              </w:rPr>
              <w:t xml:space="preserve">compensatory time off to be taken off </w:t>
            </w:r>
            <w:r w:rsidR="00D04FB7" w:rsidRPr="00D04FB7">
              <w:rPr>
                <w:rFonts w:asciiTheme="minorHAnsi" w:eastAsia="Times New Roman" w:hAnsiTheme="minorHAnsi" w:cstheme="minorHAnsi"/>
              </w:rPr>
              <w:t>by the end of the fiscal year</w:t>
            </w:r>
            <w:r w:rsidR="00487AA3" w:rsidRPr="00D04FB7">
              <w:rPr>
                <w:rFonts w:asciiTheme="minorHAnsi" w:eastAsia="Times New Roman" w:hAnsiTheme="minorHAnsi" w:cstheme="minorHAnsi"/>
              </w:rPr>
              <w:t>; and/or</w:t>
            </w:r>
          </w:p>
          <w:p w:rsidR="00693891" w:rsidRDefault="00487AA3" w:rsidP="0079450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  <w:r w:rsidRPr="00D04FB7">
              <w:rPr>
                <w:rFonts w:asciiTheme="minorHAnsi" w:eastAsia="Times New Roman" w:hAnsiTheme="minorHAnsi" w:cstheme="minorHAnsi"/>
              </w:rPr>
              <w:t>May have their current schedule adjusted appropriately with the release or holiday time to reflect the normal amount of hours the employee was schedule</w:t>
            </w:r>
            <w:r w:rsidR="00693891" w:rsidRPr="00D04FB7">
              <w:rPr>
                <w:rFonts w:asciiTheme="minorHAnsi" w:eastAsia="Times New Roman" w:hAnsiTheme="minorHAnsi" w:cstheme="minorHAnsi"/>
              </w:rPr>
              <w:t>d to work.</w:t>
            </w:r>
            <w:bookmarkStart w:id="3" w:name="_GoBack"/>
            <w:bookmarkEnd w:id="3"/>
          </w:p>
          <w:p w:rsidR="0056212F" w:rsidRDefault="0056212F" w:rsidP="0056212F">
            <w:pPr>
              <w:pStyle w:val="ListParagraph"/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</w:p>
          <w:p w:rsidR="0056212F" w:rsidRDefault="0056212F" w:rsidP="0056212F">
            <w:pPr>
              <w:pStyle w:val="ListParagraph"/>
              <w:widowControl w:val="0"/>
              <w:spacing w:after="0" w:line="240" w:lineRule="auto"/>
              <w:ind w:right="-20"/>
              <w:rPr>
                <w:rFonts w:asciiTheme="minorHAnsi" w:eastAsia="Times New Roman" w:hAnsiTheme="minorHAnsi" w:cstheme="minorHAnsi"/>
              </w:rPr>
            </w:pPr>
          </w:p>
          <w:p w:rsidR="0056212F" w:rsidRPr="0079450C" w:rsidRDefault="0056212F" w:rsidP="0056212F">
            <w:pPr>
              <w:pStyle w:val="ListParagraph"/>
              <w:widowControl w:val="0"/>
              <w:spacing w:after="0" w:line="240" w:lineRule="auto"/>
              <w:ind w:left="-1296" w:right="-20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hideMark/>
          </w:tcPr>
          <w:p w:rsidR="00693891" w:rsidRDefault="0069389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lastRenderedPageBreak/>
              <w:t>Related</w:t>
            </w:r>
          </w:p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Information: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Policy Background: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Major Category: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Category Cross Reference: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</w:tcPr>
          <w:p w:rsidR="00F22C6D" w:rsidRPr="00CE5594" w:rsidRDefault="00F22C6D" w:rsidP="00515D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hideMark/>
          </w:tcPr>
          <w:p w:rsidR="009B4161" w:rsidRPr="00143FFB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10F8F"/>
              </w:rPr>
            </w:pPr>
          </w:p>
          <w:p w:rsidR="009B4161" w:rsidRPr="00143FFB" w:rsidRDefault="00143FFB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210F8F"/>
              </w:rPr>
            </w:pPr>
            <w:r w:rsidRPr="00143FFB">
              <w:rPr>
                <w:rFonts w:asciiTheme="minorHAnsi" w:eastAsia="Times New Roman" w:hAnsiTheme="minorHAnsi" w:cstheme="minorHAnsi"/>
                <w:b/>
                <w:bCs/>
                <w:color w:val="210F8F"/>
              </w:rPr>
              <w:lastRenderedPageBreak/>
              <w:t>P</w:t>
            </w:r>
            <w:r w:rsidR="009B4161" w:rsidRPr="00143FFB">
              <w:rPr>
                <w:rFonts w:asciiTheme="minorHAnsi" w:eastAsia="Times New Roman" w:hAnsiTheme="minorHAnsi" w:cstheme="minorHAnsi"/>
                <w:b/>
                <w:bCs/>
                <w:color w:val="210F8F"/>
              </w:rPr>
              <w:t>rocess: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lastRenderedPageBreak/>
              <w:t> </w:t>
            </w:r>
          </w:p>
        </w:tc>
        <w:tc>
          <w:tcPr>
            <w:tcW w:w="6927" w:type="dxa"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Next Scheduled Review: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Approved By, Date: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</w:tcPr>
          <w:p w:rsidR="009B4161" w:rsidRPr="00CE5594" w:rsidRDefault="009B4161" w:rsidP="00ED7B55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8B469D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CE559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Revision History:</w:t>
            </w: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CE5594" w:rsidTr="000A06CB">
        <w:trPr>
          <w:tblCellSpacing w:w="15" w:type="dxa"/>
        </w:trPr>
        <w:tc>
          <w:tcPr>
            <w:tcW w:w="1732" w:type="dxa"/>
            <w:vAlign w:val="center"/>
            <w:hideMark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56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vAlign w:val="center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CE5594" w:rsidTr="000A06CB">
        <w:trPr>
          <w:trHeight w:val="870"/>
          <w:tblCellSpacing w:w="15" w:type="dxa"/>
        </w:trPr>
        <w:tc>
          <w:tcPr>
            <w:tcW w:w="1732" w:type="dxa"/>
          </w:tcPr>
          <w:p w:rsidR="009B4161" w:rsidRPr="00CE559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</w:p>
        </w:tc>
        <w:tc>
          <w:tcPr>
            <w:tcW w:w="656" w:type="dxa"/>
            <w:hideMark/>
          </w:tcPr>
          <w:p w:rsidR="009B4161" w:rsidRPr="00CE559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6927" w:type="dxa"/>
            <w:hideMark/>
          </w:tcPr>
          <w:p w:rsidR="009B4161" w:rsidRPr="00CE5594" w:rsidRDefault="009B4161" w:rsidP="008914C6">
            <w:pPr>
              <w:tabs>
                <w:tab w:val="left" w:pos="1245"/>
              </w:tabs>
              <w:rPr>
                <w:rFonts w:asciiTheme="minorHAnsi" w:eastAsia="Times New Roman" w:hAnsiTheme="minorHAnsi" w:cstheme="minorHAnsi"/>
              </w:rPr>
            </w:pPr>
            <w:r w:rsidRPr="00CE5594">
              <w:rPr>
                <w:rFonts w:asciiTheme="minorHAnsi" w:eastAsia="Times New Roman" w:hAnsiTheme="minorHAnsi" w:cstheme="minorHAnsi"/>
              </w:rPr>
              <w:tab/>
            </w:r>
          </w:p>
        </w:tc>
      </w:tr>
    </w:tbl>
    <w:p w:rsidR="009B4161" w:rsidRPr="00CE5594" w:rsidRDefault="009B4161" w:rsidP="009B4161">
      <w:pPr>
        <w:ind w:firstLine="720"/>
        <w:rPr>
          <w:rFonts w:asciiTheme="minorHAnsi" w:hAnsiTheme="minorHAnsi" w:cstheme="minorHAnsi"/>
        </w:rPr>
      </w:pPr>
    </w:p>
    <w:p w:rsidR="0081057E" w:rsidRPr="00CE5594" w:rsidRDefault="0081057E" w:rsidP="009B4161">
      <w:pPr>
        <w:rPr>
          <w:rFonts w:asciiTheme="minorHAnsi" w:hAnsiTheme="minorHAnsi" w:cstheme="minorHAnsi"/>
        </w:rPr>
      </w:pPr>
    </w:p>
    <w:p w:rsidR="00CE5594" w:rsidRPr="00CE5594" w:rsidRDefault="00CE5594">
      <w:pPr>
        <w:rPr>
          <w:rFonts w:asciiTheme="minorHAnsi" w:hAnsiTheme="minorHAnsi" w:cstheme="minorHAnsi"/>
        </w:rPr>
      </w:pPr>
    </w:p>
    <w:sectPr w:rsidR="00CE5594" w:rsidRPr="00CE5594" w:rsidSect="00445C4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16" w:rsidRDefault="00BC4A16" w:rsidP="00D311B4">
      <w:pPr>
        <w:spacing w:after="0" w:line="240" w:lineRule="auto"/>
      </w:pPr>
      <w:r>
        <w:separator/>
      </w:r>
    </w:p>
  </w:endnote>
  <w:endnote w:type="continuationSeparator" w:id="0">
    <w:p w:rsidR="00BC4A16" w:rsidRDefault="00BC4A16" w:rsidP="00D3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C6" w:rsidRDefault="007F4E76" w:rsidP="00DF5036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January, 2018</w:t>
    </w:r>
    <w:r w:rsidR="008914C6">
      <w:rPr>
        <w:rFonts w:ascii="Cambria" w:hAnsi="Cambria"/>
      </w:rPr>
      <w:tab/>
      <w:t xml:space="preserve">Page </w:t>
    </w:r>
    <w:r w:rsidR="00D90D7D">
      <w:fldChar w:fldCharType="begin"/>
    </w:r>
    <w:r w:rsidR="008914C6">
      <w:instrText xml:space="preserve"> PAGE   \* MERGEFORMAT </w:instrText>
    </w:r>
    <w:r w:rsidR="00D90D7D">
      <w:fldChar w:fldCharType="separate"/>
    </w:r>
    <w:r w:rsidR="0056212F" w:rsidRPr="0056212F">
      <w:rPr>
        <w:rFonts w:ascii="Cambria" w:hAnsi="Cambria"/>
        <w:noProof/>
      </w:rPr>
      <w:t>1</w:t>
    </w:r>
    <w:r w:rsidR="00D90D7D">
      <w:rPr>
        <w:rFonts w:ascii="Cambria" w:hAnsi="Cambria"/>
        <w:noProof/>
      </w:rPr>
      <w:fldChar w:fldCharType="end"/>
    </w:r>
  </w:p>
  <w:p w:rsidR="008914C6" w:rsidRDefault="0089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C6" w:rsidRDefault="007F4E76" w:rsidP="00DF5036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January, 2018</w:t>
    </w:r>
    <w:r w:rsidR="008914C6">
      <w:rPr>
        <w:rFonts w:ascii="Cambria" w:hAnsi="Cambria"/>
      </w:rPr>
      <w:tab/>
      <w:t xml:space="preserve">Page </w:t>
    </w:r>
    <w:r w:rsidR="00D90D7D">
      <w:fldChar w:fldCharType="begin"/>
    </w:r>
    <w:r w:rsidR="008914C6">
      <w:instrText xml:space="preserve"> PAGE   \* MERGEFORMAT </w:instrText>
    </w:r>
    <w:r w:rsidR="00D90D7D">
      <w:fldChar w:fldCharType="separate"/>
    </w:r>
    <w:r w:rsidR="0056212F" w:rsidRPr="0056212F">
      <w:rPr>
        <w:rFonts w:ascii="Cambria" w:hAnsi="Cambria"/>
        <w:noProof/>
      </w:rPr>
      <w:t>4</w:t>
    </w:r>
    <w:r w:rsidR="00D90D7D">
      <w:rPr>
        <w:rFonts w:ascii="Cambria" w:hAnsi="Cambria"/>
        <w:noProof/>
      </w:rPr>
      <w:fldChar w:fldCharType="end"/>
    </w:r>
  </w:p>
  <w:p w:rsidR="008914C6" w:rsidRDefault="0089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16" w:rsidRDefault="00BC4A16" w:rsidP="00D311B4">
      <w:pPr>
        <w:spacing w:after="0" w:line="240" w:lineRule="auto"/>
      </w:pPr>
      <w:r>
        <w:separator/>
      </w:r>
    </w:p>
  </w:footnote>
  <w:footnote w:type="continuationSeparator" w:id="0">
    <w:p w:rsidR="00BC4A16" w:rsidRDefault="00BC4A16" w:rsidP="00D3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C6" w:rsidRDefault="0089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C6" w:rsidRDefault="00891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C6" w:rsidRDefault="00891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EC1"/>
    <w:multiLevelType w:val="hybridMultilevel"/>
    <w:tmpl w:val="0B94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6BFD"/>
    <w:multiLevelType w:val="hybridMultilevel"/>
    <w:tmpl w:val="2D64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3D6"/>
    <w:multiLevelType w:val="hybridMultilevel"/>
    <w:tmpl w:val="5920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05F7"/>
    <w:multiLevelType w:val="hybridMultilevel"/>
    <w:tmpl w:val="4886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195C"/>
    <w:multiLevelType w:val="multilevel"/>
    <w:tmpl w:val="629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625AD"/>
    <w:multiLevelType w:val="hybridMultilevel"/>
    <w:tmpl w:val="C9BE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419E"/>
    <w:multiLevelType w:val="hybridMultilevel"/>
    <w:tmpl w:val="34E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01"/>
    <w:rsid w:val="00001255"/>
    <w:rsid w:val="00004A61"/>
    <w:rsid w:val="0000622B"/>
    <w:rsid w:val="00007653"/>
    <w:rsid w:val="000176F6"/>
    <w:rsid w:val="00030801"/>
    <w:rsid w:val="00042DA7"/>
    <w:rsid w:val="00043934"/>
    <w:rsid w:val="0004757C"/>
    <w:rsid w:val="00051CF9"/>
    <w:rsid w:val="000575E7"/>
    <w:rsid w:val="00057E28"/>
    <w:rsid w:val="00074DB3"/>
    <w:rsid w:val="00081FAF"/>
    <w:rsid w:val="00083307"/>
    <w:rsid w:val="00086D4D"/>
    <w:rsid w:val="00093400"/>
    <w:rsid w:val="000975CD"/>
    <w:rsid w:val="000A06CB"/>
    <w:rsid w:val="000B2385"/>
    <w:rsid w:val="000B5D56"/>
    <w:rsid w:val="000C59B1"/>
    <w:rsid w:val="000D4B97"/>
    <w:rsid w:val="000E4D98"/>
    <w:rsid w:val="000F7B01"/>
    <w:rsid w:val="001115F2"/>
    <w:rsid w:val="00111C17"/>
    <w:rsid w:val="0011282F"/>
    <w:rsid w:val="0013519D"/>
    <w:rsid w:val="0014013F"/>
    <w:rsid w:val="00143FFB"/>
    <w:rsid w:val="001528E1"/>
    <w:rsid w:val="00152F9E"/>
    <w:rsid w:val="0015777D"/>
    <w:rsid w:val="001602E2"/>
    <w:rsid w:val="001627AF"/>
    <w:rsid w:val="001637B0"/>
    <w:rsid w:val="00177DFB"/>
    <w:rsid w:val="00183830"/>
    <w:rsid w:val="001931EF"/>
    <w:rsid w:val="00195B7E"/>
    <w:rsid w:val="001B3133"/>
    <w:rsid w:val="001B697C"/>
    <w:rsid w:val="001F0E22"/>
    <w:rsid w:val="002060FE"/>
    <w:rsid w:val="00220E52"/>
    <w:rsid w:val="00246EBA"/>
    <w:rsid w:val="0025681B"/>
    <w:rsid w:val="00271A73"/>
    <w:rsid w:val="00272966"/>
    <w:rsid w:val="00281736"/>
    <w:rsid w:val="00293208"/>
    <w:rsid w:val="002942C5"/>
    <w:rsid w:val="002A0C80"/>
    <w:rsid w:val="002A5B08"/>
    <w:rsid w:val="002B45B3"/>
    <w:rsid w:val="002B5AD5"/>
    <w:rsid w:val="002D4B1A"/>
    <w:rsid w:val="002D6917"/>
    <w:rsid w:val="002E6CA0"/>
    <w:rsid w:val="002F3A9E"/>
    <w:rsid w:val="002F3E1C"/>
    <w:rsid w:val="002F47E9"/>
    <w:rsid w:val="00300A69"/>
    <w:rsid w:val="0030568A"/>
    <w:rsid w:val="00305CEF"/>
    <w:rsid w:val="00315CF2"/>
    <w:rsid w:val="00316536"/>
    <w:rsid w:val="00322181"/>
    <w:rsid w:val="0033746E"/>
    <w:rsid w:val="00337D08"/>
    <w:rsid w:val="00344FC4"/>
    <w:rsid w:val="00371928"/>
    <w:rsid w:val="003B6214"/>
    <w:rsid w:val="003C00F2"/>
    <w:rsid w:val="003D26AE"/>
    <w:rsid w:val="003D2D4E"/>
    <w:rsid w:val="004028BB"/>
    <w:rsid w:val="00404A7A"/>
    <w:rsid w:val="00416F32"/>
    <w:rsid w:val="004200F9"/>
    <w:rsid w:val="00425D7F"/>
    <w:rsid w:val="00445C40"/>
    <w:rsid w:val="004576BC"/>
    <w:rsid w:val="00460F7F"/>
    <w:rsid w:val="004653F9"/>
    <w:rsid w:val="004703C9"/>
    <w:rsid w:val="004722DA"/>
    <w:rsid w:val="00480E2B"/>
    <w:rsid w:val="00481E0A"/>
    <w:rsid w:val="004822AF"/>
    <w:rsid w:val="00487AA3"/>
    <w:rsid w:val="0049148F"/>
    <w:rsid w:val="00492254"/>
    <w:rsid w:val="004A1C41"/>
    <w:rsid w:val="004A508C"/>
    <w:rsid w:val="004B5522"/>
    <w:rsid w:val="004E1903"/>
    <w:rsid w:val="004E19A9"/>
    <w:rsid w:val="004E64D5"/>
    <w:rsid w:val="00512C6A"/>
    <w:rsid w:val="00515D21"/>
    <w:rsid w:val="00515D3D"/>
    <w:rsid w:val="00536905"/>
    <w:rsid w:val="005456E5"/>
    <w:rsid w:val="00547412"/>
    <w:rsid w:val="0056212F"/>
    <w:rsid w:val="00566DA0"/>
    <w:rsid w:val="005A27A0"/>
    <w:rsid w:val="005B5166"/>
    <w:rsid w:val="005C1BA9"/>
    <w:rsid w:val="005C456A"/>
    <w:rsid w:val="005C5102"/>
    <w:rsid w:val="005D5EE8"/>
    <w:rsid w:val="005D7075"/>
    <w:rsid w:val="00600751"/>
    <w:rsid w:val="00601751"/>
    <w:rsid w:val="006039C7"/>
    <w:rsid w:val="00603C43"/>
    <w:rsid w:val="006061A7"/>
    <w:rsid w:val="00611B3D"/>
    <w:rsid w:val="00614B13"/>
    <w:rsid w:val="00626E76"/>
    <w:rsid w:val="006324F2"/>
    <w:rsid w:val="00640B8A"/>
    <w:rsid w:val="00650E72"/>
    <w:rsid w:val="006514F6"/>
    <w:rsid w:val="00651F01"/>
    <w:rsid w:val="006548D1"/>
    <w:rsid w:val="00667754"/>
    <w:rsid w:val="0067071A"/>
    <w:rsid w:val="006756FE"/>
    <w:rsid w:val="00681035"/>
    <w:rsid w:val="00683833"/>
    <w:rsid w:val="00693891"/>
    <w:rsid w:val="006A603E"/>
    <w:rsid w:val="006A7403"/>
    <w:rsid w:val="006D104A"/>
    <w:rsid w:val="006D147B"/>
    <w:rsid w:val="006D4460"/>
    <w:rsid w:val="006D6BA7"/>
    <w:rsid w:val="006F07FD"/>
    <w:rsid w:val="006F5DC8"/>
    <w:rsid w:val="007436FF"/>
    <w:rsid w:val="00744C3E"/>
    <w:rsid w:val="00763D47"/>
    <w:rsid w:val="007645EF"/>
    <w:rsid w:val="007665DE"/>
    <w:rsid w:val="00767C17"/>
    <w:rsid w:val="007719DB"/>
    <w:rsid w:val="007835D4"/>
    <w:rsid w:val="00793572"/>
    <w:rsid w:val="00793D9E"/>
    <w:rsid w:val="0079450C"/>
    <w:rsid w:val="007A3007"/>
    <w:rsid w:val="007A666F"/>
    <w:rsid w:val="007C28F7"/>
    <w:rsid w:val="007D2EA6"/>
    <w:rsid w:val="007E4A80"/>
    <w:rsid w:val="007E602B"/>
    <w:rsid w:val="007F0E13"/>
    <w:rsid w:val="007F4E76"/>
    <w:rsid w:val="008067F3"/>
    <w:rsid w:val="0081057E"/>
    <w:rsid w:val="00816149"/>
    <w:rsid w:val="00821E38"/>
    <w:rsid w:val="00840486"/>
    <w:rsid w:val="0085618D"/>
    <w:rsid w:val="008626E9"/>
    <w:rsid w:val="00865015"/>
    <w:rsid w:val="00867EC6"/>
    <w:rsid w:val="00873B32"/>
    <w:rsid w:val="00885214"/>
    <w:rsid w:val="008871C1"/>
    <w:rsid w:val="008914C6"/>
    <w:rsid w:val="0089319E"/>
    <w:rsid w:val="00893C11"/>
    <w:rsid w:val="008B29BE"/>
    <w:rsid w:val="008B3B31"/>
    <w:rsid w:val="008B469D"/>
    <w:rsid w:val="008C647D"/>
    <w:rsid w:val="008F7436"/>
    <w:rsid w:val="00900F3E"/>
    <w:rsid w:val="00904779"/>
    <w:rsid w:val="00910B05"/>
    <w:rsid w:val="009146E3"/>
    <w:rsid w:val="00917C44"/>
    <w:rsid w:val="00921F66"/>
    <w:rsid w:val="00950C16"/>
    <w:rsid w:val="00953291"/>
    <w:rsid w:val="009540FA"/>
    <w:rsid w:val="00960432"/>
    <w:rsid w:val="00965473"/>
    <w:rsid w:val="009848B1"/>
    <w:rsid w:val="00990133"/>
    <w:rsid w:val="00992FFC"/>
    <w:rsid w:val="009A22F8"/>
    <w:rsid w:val="009A235A"/>
    <w:rsid w:val="009B4161"/>
    <w:rsid w:val="009C0E06"/>
    <w:rsid w:val="009C49C4"/>
    <w:rsid w:val="009D2E09"/>
    <w:rsid w:val="009D4361"/>
    <w:rsid w:val="009E2FE7"/>
    <w:rsid w:val="00A06175"/>
    <w:rsid w:val="00A1088D"/>
    <w:rsid w:val="00A50133"/>
    <w:rsid w:val="00A53A84"/>
    <w:rsid w:val="00A56608"/>
    <w:rsid w:val="00A7347F"/>
    <w:rsid w:val="00A73FC6"/>
    <w:rsid w:val="00A85BAC"/>
    <w:rsid w:val="00A864E8"/>
    <w:rsid w:val="00AA03DC"/>
    <w:rsid w:val="00AA0A36"/>
    <w:rsid w:val="00AA106E"/>
    <w:rsid w:val="00AD13C0"/>
    <w:rsid w:val="00AE08A3"/>
    <w:rsid w:val="00AF0D91"/>
    <w:rsid w:val="00AF3788"/>
    <w:rsid w:val="00AF534F"/>
    <w:rsid w:val="00B045A9"/>
    <w:rsid w:val="00B10B4E"/>
    <w:rsid w:val="00B11289"/>
    <w:rsid w:val="00B13065"/>
    <w:rsid w:val="00B35F05"/>
    <w:rsid w:val="00B36E60"/>
    <w:rsid w:val="00B43158"/>
    <w:rsid w:val="00B54269"/>
    <w:rsid w:val="00B6394A"/>
    <w:rsid w:val="00B73EE8"/>
    <w:rsid w:val="00B910A3"/>
    <w:rsid w:val="00B947B5"/>
    <w:rsid w:val="00B95A87"/>
    <w:rsid w:val="00BB4F84"/>
    <w:rsid w:val="00BC41A6"/>
    <w:rsid w:val="00BC4A16"/>
    <w:rsid w:val="00BD07CF"/>
    <w:rsid w:val="00BD25C6"/>
    <w:rsid w:val="00BD2E75"/>
    <w:rsid w:val="00BE1D56"/>
    <w:rsid w:val="00BF2AE4"/>
    <w:rsid w:val="00C01A90"/>
    <w:rsid w:val="00C20AEA"/>
    <w:rsid w:val="00C355BD"/>
    <w:rsid w:val="00C53E9B"/>
    <w:rsid w:val="00C62766"/>
    <w:rsid w:val="00C73B9E"/>
    <w:rsid w:val="00C776F9"/>
    <w:rsid w:val="00C87E32"/>
    <w:rsid w:val="00C96586"/>
    <w:rsid w:val="00CA6D0F"/>
    <w:rsid w:val="00CC35C5"/>
    <w:rsid w:val="00CC6D07"/>
    <w:rsid w:val="00CD5E0F"/>
    <w:rsid w:val="00CE5594"/>
    <w:rsid w:val="00CE7166"/>
    <w:rsid w:val="00CF3BA8"/>
    <w:rsid w:val="00D01048"/>
    <w:rsid w:val="00D04FB7"/>
    <w:rsid w:val="00D14DBE"/>
    <w:rsid w:val="00D2798C"/>
    <w:rsid w:val="00D311B4"/>
    <w:rsid w:val="00D56DBC"/>
    <w:rsid w:val="00D57AA8"/>
    <w:rsid w:val="00D764E2"/>
    <w:rsid w:val="00D776CA"/>
    <w:rsid w:val="00D84B20"/>
    <w:rsid w:val="00D90D7D"/>
    <w:rsid w:val="00D97DE9"/>
    <w:rsid w:val="00DC52CE"/>
    <w:rsid w:val="00DC7D2D"/>
    <w:rsid w:val="00DF1410"/>
    <w:rsid w:val="00DF3692"/>
    <w:rsid w:val="00DF5036"/>
    <w:rsid w:val="00DF6017"/>
    <w:rsid w:val="00DF6489"/>
    <w:rsid w:val="00E05FE2"/>
    <w:rsid w:val="00E156E0"/>
    <w:rsid w:val="00E4453C"/>
    <w:rsid w:val="00E55964"/>
    <w:rsid w:val="00E55A40"/>
    <w:rsid w:val="00E55C40"/>
    <w:rsid w:val="00E61750"/>
    <w:rsid w:val="00E66F4E"/>
    <w:rsid w:val="00E823A0"/>
    <w:rsid w:val="00EA1B28"/>
    <w:rsid w:val="00EA5CFF"/>
    <w:rsid w:val="00EC06BF"/>
    <w:rsid w:val="00EC2D1B"/>
    <w:rsid w:val="00ED134C"/>
    <w:rsid w:val="00ED7B55"/>
    <w:rsid w:val="00EE61CD"/>
    <w:rsid w:val="00EF0382"/>
    <w:rsid w:val="00EF05B5"/>
    <w:rsid w:val="00F1343E"/>
    <w:rsid w:val="00F16332"/>
    <w:rsid w:val="00F22C6D"/>
    <w:rsid w:val="00F32085"/>
    <w:rsid w:val="00F350BC"/>
    <w:rsid w:val="00F6630F"/>
    <w:rsid w:val="00F80268"/>
    <w:rsid w:val="00F91B5D"/>
    <w:rsid w:val="00F94019"/>
    <w:rsid w:val="00FA1755"/>
    <w:rsid w:val="00FA67DE"/>
    <w:rsid w:val="00FB200E"/>
    <w:rsid w:val="00FB4C3B"/>
    <w:rsid w:val="00FB5665"/>
    <w:rsid w:val="00FC0A3C"/>
    <w:rsid w:val="00FC5055"/>
    <w:rsid w:val="00FC5C2F"/>
    <w:rsid w:val="00FC75EE"/>
    <w:rsid w:val="00FD34E3"/>
    <w:rsid w:val="00FE488E"/>
    <w:rsid w:val="00FF1FCC"/>
    <w:rsid w:val="00FF4819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DE05C"/>
  <w15:docId w15:val="{3BED88C8-2BC6-427C-A698-63F5B960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1B4"/>
  </w:style>
  <w:style w:type="paragraph" w:styleId="Footer">
    <w:name w:val="footer"/>
    <w:basedOn w:val="Normal"/>
    <w:link w:val="FooterChar"/>
    <w:uiPriority w:val="99"/>
    <w:unhideWhenUsed/>
    <w:rsid w:val="00D3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B4"/>
  </w:style>
  <w:style w:type="paragraph" w:styleId="HTMLPreformatted">
    <w:name w:val="HTML Preformatted"/>
    <w:basedOn w:val="Normal"/>
    <w:link w:val="HTMLPreformattedChar"/>
    <w:uiPriority w:val="99"/>
    <w:unhideWhenUsed/>
    <w:rsid w:val="00821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E3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B41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5E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722DA"/>
    <w:pPr>
      <w:spacing w:before="240" w:after="240" w:line="360" w:lineRule="atLeast"/>
    </w:pPr>
    <w:rPr>
      <w:rFonts w:ascii="Arial" w:eastAsia="Times New Roman" w:hAnsi="Arial" w:cs="Arial"/>
      <w:sz w:val="23"/>
      <w:szCs w:val="23"/>
    </w:rPr>
  </w:style>
  <w:style w:type="character" w:customStyle="1" w:styleId="pseditboxdisponly">
    <w:name w:val="pseditbox_disponly"/>
    <w:basedOn w:val="DefaultParagraphFont"/>
    <w:rsid w:val="00C73B9E"/>
  </w:style>
  <w:style w:type="character" w:styleId="Hyperlink">
    <w:name w:val="Hyperlink"/>
    <w:basedOn w:val="DefaultParagraphFont"/>
    <w:uiPriority w:val="99"/>
    <w:semiHidden/>
    <w:unhideWhenUsed/>
    <w:rsid w:val="006D147B"/>
    <w:rPr>
      <w:strike w:val="0"/>
      <w:dstrike w:val="0"/>
      <w:color w:val="AC641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D147B"/>
    <w:rPr>
      <w:i/>
      <w:iCs/>
    </w:rPr>
  </w:style>
  <w:style w:type="character" w:styleId="Strong">
    <w:name w:val="Strong"/>
    <w:basedOn w:val="DefaultParagraphFont"/>
    <w:uiPriority w:val="22"/>
    <w:qFormat/>
    <w:rsid w:val="006D147B"/>
    <w:rPr>
      <w:b/>
      <w:bCs/>
    </w:rPr>
  </w:style>
  <w:style w:type="paragraph" w:styleId="ListParagraph">
    <w:name w:val="List Paragraph"/>
    <w:basedOn w:val="Normal"/>
    <w:uiPriority w:val="34"/>
    <w:qFormat/>
    <w:rsid w:val="00111C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9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91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E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4E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D279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38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7837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14993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53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E19A-F87E-4531-9764-29C66B6D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amcgaher</dc:creator>
  <cp:lastModifiedBy>Diane M. Letourneau - dletourn</cp:lastModifiedBy>
  <cp:revision>3</cp:revision>
  <cp:lastPrinted>2018-02-05T16:31:00Z</cp:lastPrinted>
  <dcterms:created xsi:type="dcterms:W3CDTF">2018-10-19T14:49:00Z</dcterms:created>
  <dcterms:modified xsi:type="dcterms:W3CDTF">2018-10-19T17:26:00Z</dcterms:modified>
</cp:coreProperties>
</file>